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8</w:t>
      </w:r>
      <w:r>
        <w:rPr>
          <w:b/>
          <w:bCs/>
          <w:sz w:val="24"/>
        </w:rPr>
        <w:tab/>
      </w:r>
      <w:r>
        <w:rPr>
          <w:rFonts w:hint="eastAsia"/>
          <w:b/>
          <w:bCs/>
          <w:sz w:val="24"/>
        </w:rPr>
        <w:t>S2-2503756</w:t>
      </w:r>
    </w:p>
    <w:p>
      <w:pPr>
        <w:pStyle w:val="129"/>
        <w:tabs>
          <w:tab w:val="right" w:pos="9630"/>
        </w:tabs>
        <w:outlineLvl w:val="0"/>
        <w:rPr>
          <w:rFonts w:hint="default" w:eastAsia="宋体"/>
          <w:b/>
          <w:sz w:val="24"/>
          <w:lang w:val="en-US" w:eastAsia="zh-CN"/>
        </w:rPr>
      </w:pPr>
      <w:r>
        <w:rPr>
          <w:rFonts w:hint="eastAsia"/>
          <w:b/>
          <w:sz w:val="24"/>
          <w:lang w:val="en-US" w:eastAsia="zh-CN"/>
        </w:rPr>
        <w:t>7-11 April, 2025, Goteborg, Sweden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bCs/>
                <w:sz w:val="28"/>
              </w:rPr>
            </w:pPr>
            <w:r>
              <w:rPr>
                <w:b/>
                <w:bCs/>
                <w:sz w:val="28"/>
                <w:szCs w:val="28"/>
              </w:rPr>
              <w:t>23.228</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bCs/>
                <w:sz w:val="28"/>
                <w:szCs w:val="28"/>
                <w:lang w:val="en-US" w:eastAsia="zh-CN"/>
              </w:rPr>
              <w:t>1637</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bCs/>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rFonts w:hint="eastAsia" w:eastAsia="宋体"/>
                <w:b/>
                <w:caps/>
                <w:lang w:val="en-US" w:eastAsia="zh-CN"/>
              </w:rPr>
            </w:pPr>
            <w:r>
              <w:rPr>
                <w:rFonts w:hint="eastAsia"/>
                <w:b/>
                <w:caps/>
                <w:lang w:val="en-US" w:eastAsia="zh-CN"/>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Clarification on PSI configuration on UE</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eastAsia" w:eastAsia="宋体"/>
                <w:highlight w:val="yellow"/>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eastAsia="宋体"/>
                <w:lang w:val="en-US" w:eastAsia="zh-CN"/>
              </w:rPr>
            </w:pPr>
            <w:r>
              <w:t>NG_RTC</w:t>
            </w:r>
            <w:r>
              <w:rPr>
                <w:rFonts w:hint="eastAsia"/>
                <w:lang w:val="en-US" w:eastAsia="zh-CN"/>
              </w:rPr>
              <w:t>_Ph2</w:t>
            </w:r>
            <w:bookmarkStart w:id="13" w:name="_GoBack"/>
            <w:bookmarkEnd w:id="13"/>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3</w:t>
            </w:r>
            <w:r>
              <w:t>-</w:t>
            </w:r>
            <w:r>
              <w:fldChar w:fldCharType="end"/>
            </w:r>
            <w:r>
              <w:rPr>
                <w:rFonts w:hint="eastAsia"/>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When a PSI is used, e.g. when establishing a standalone IMS DC session with bootstrap DC, it is quite different to the way that PSI is used for voice/video session. In the latter case the PSI is a phone number that is input from dialing panel, while in former case the PSI is a URL or a string which can not be input from dialing panel. It is therefore needed to clarify that the PSI shall be configured in the ME or UICC.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Add clarification that a PSI shall be configured in the ME or UICC.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It is not clear whether and how PSI is configured in the UE.</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AC.10.2.1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sz w:val="18"/>
                <w:szCs w:val="18"/>
              </w:rPr>
            </w:pPr>
          </w:p>
        </w:tc>
      </w:tr>
    </w:tbl>
    <w:p>
      <w:pPr>
        <w:pStyle w:val="129"/>
        <w:spacing w:after="0"/>
        <w:rPr>
          <w:sz w:val="8"/>
          <w:szCs w:val="8"/>
        </w:rPr>
      </w:pPr>
    </w:p>
    <w:p>
      <w:pPr>
        <w:rPr>
          <w:lang w:eastAsia="zh-CN"/>
        </w:rPr>
      </w:pPr>
      <w:bookmarkStart w:id="1" w:name="_Toc59095482"/>
      <w:bookmarkStart w:id="2" w:name="_Toc27846561"/>
      <w:bookmarkStart w:id="3" w:name="_Toc45183590"/>
      <w:bookmarkStart w:id="4" w:name="_Toc36187686"/>
      <w:bookmarkStart w:id="5" w:name="_Toc47342432"/>
      <w:bookmarkStart w:id="6" w:name="_Toc20149769"/>
      <w:bookmarkStart w:id="7" w:name="_Toc51769132"/>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185595548"/>
      <w:r>
        <w:rPr>
          <w:rFonts w:ascii="Arial" w:hAnsi="Arial" w:eastAsia="Times New Roman" w:cs="Times New Roman"/>
          <w:sz w:val="28"/>
          <w:lang w:val="en-GB" w:eastAsia="en-GB" w:bidi="ar-SA"/>
        </w:rPr>
        <w:t>AC.10.2.1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Originating Standalone Bootstrap DC Setup using PSI</w:t>
      </w:r>
      <w:bookmarkEnd w:id="12"/>
    </w:p>
    <w:p>
      <w:pPr>
        <w:overflowPunct w:val="0"/>
        <w:autoSpaceDE w:val="0"/>
        <w:autoSpaceDN w:val="0"/>
        <w:adjustRightInd w:val="0"/>
        <w:textAlignment w:val="baseline"/>
        <w:rPr>
          <w:rFonts w:eastAsia="Times New Roman"/>
          <w:lang w:eastAsia="en-GB"/>
        </w:rPr>
      </w:pPr>
      <w:r>
        <w:rPr>
          <w:rFonts w:eastAsia="Times New Roman"/>
          <w:lang w:eastAsia="en-GB"/>
        </w:rPr>
        <w:t xml:space="preserve">The originating standalone Bootstrap DC setup using PSI is triggered by a UE for downloading application list and/or applications from DCSF. </w:t>
      </w:r>
      <w:del w:id="0" w:author="JY" w:date="2025-03-13T12:23:35Z">
        <w:r>
          <w:rPr>
            <w:rFonts w:hint="default" w:eastAsia="Times New Roman"/>
            <w:lang w:val="en-US" w:eastAsia="en-GB"/>
          </w:rPr>
          <w:delText>In</w:delText>
        </w:r>
      </w:del>
      <w:ins w:id="1" w:author="JY" w:date="2025-03-13T12:23:35Z">
        <w:r>
          <w:rPr>
            <w:rFonts w:hint="eastAsia"/>
            <w:lang w:val="en-US" w:eastAsia="zh-CN"/>
          </w:rPr>
          <w:t xml:space="preserve">To </w:t>
        </w:r>
      </w:ins>
      <w:ins w:id="2" w:author="JY" w:date="2025-03-13T12:23:36Z">
        <w:r>
          <w:rPr>
            <w:rFonts w:hint="eastAsia"/>
            <w:lang w:val="en-US" w:eastAsia="zh-CN"/>
          </w:rPr>
          <w:t>s</w:t>
        </w:r>
      </w:ins>
      <w:ins w:id="3" w:author="JY" w:date="2025-03-13T12:23:37Z">
        <w:r>
          <w:rPr>
            <w:rFonts w:hint="eastAsia"/>
            <w:lang w:val="en-US" w:eastAsia="zh-CN"/>
          </w:rPr>
          <w:t>uppo</w:t>
        </w:r>
      </w:ins>
      <w:ins w:id="4" w:author="JY" w:date="2025-03-13T12:23:40Z">
        <w:r>
          <w:rPr>
            <w:rFonts w:hint="eastAsia"/>
            <w:lang w:val="en-US" w:eastAsia="zh-CN"/>
          </w:rPr>
          <w:t>rt</w:t>
        </w:r>
      </w:ins>
      <w:r>
        <w:rPr>
          <w:rFonts w:eastAsia="Times New Roman"/>
          <w:lang w:eastAsia="en-GB"/>
        </w:rPr>
        <w:t xml:space="preserve"> this procedure, </w:t>
      </w:r>
      <w:ins w:id="5" w:author="JY" w:date="2025-03-13T12:23:24Z">
        <w:r>
          <w:rPr>
            <w:rFonts w:hint="eastAsia"/>
            <w:lang w:val="en-US" w:eastAsia="zh-CN"/>
          </w:rPr>
          <w:t>t</w:t>
        </w:r>
      </w:ins>
      <w:ins w:id="6" w:author="JY" w:date="2025-03-13T12:23:24Z">
        <w:r>
          <w:rPr/>
          <w:t xml:space="preserve">he UE </w:t>
        </w:r>
      </w:ins>
      <w:ins w:id="7" w:author="JY" w:date="2025-03-13T12:23:24Z">
        <w:r>
          <w:rPr>
            <w:rFonts w:hint="eastAsia"/>
            <w:lang w:val="en-US" w:eastAsia="zh-CN"/>
          </w:rPr>
          <w:t>shall</w:t>
        </w:r>
      </w:ins>
      <w:ins w:id="8" w:author="JY" w:date="2025-03-13T12:23:24Z">
        <w:r>
          <w:rPr/>
          <w:t xml:space="preserve"> be configured by the HPLMN either via Device Management or in the UICC</w:t>
        </w:r>
      </w:ins>
      <w:ins w:id="9" w:author="JY" w:date="2025-03-13T12:23:24Z">
        <w:r>
          <w:rPr>
            <w:rFonts w:hint="eastAsia"/>
            <w:lang w:val="en-US" w:eastAsia="zh-CN"/>
          </w:rPr>
          <w:t xml:space="preserve"> a </w:t>
        </w:r>
      </w:ins>
      <w:ins w:id="10" w:author="JY" w:date="2025-03-13T12:24:18Z">
        <w:r>
          <w:rPr>
            <w:rFonts w:hint="eastAsia"/>
            <w:lang w:val="en-US" w:eastAsia="zh-CN"/>
          </w:rPr>
          <w:t>spe</w:t>
        </w:r>
      </w:ins>
      <w:ins w:id="11" w:author="JY" w:date="2025-03-13T12:24:19Z">
        <w:r>
          <w:rPr>
            <w:rFonts w:hint="eastAsia"/>
            <w:lang w:val="en-US" w:eastAsia="zh-CN"/>
          </w:rPr>
          <w:t xml:space="preserve">cific </w:t>
        </w:r>
      </w:ins>
      <w:ins w:id="12" w:author="JY" w:date="2025-03-13T12:23:24Z">
        <w:r>
          <w:rPr>
            <w:rFonts w:hint="eastAsia"/>
            <w:lang w:val="en-US" w:eastAsia="zh-CN"/>
          </w:rPr>
          <w:t>PSI</w:t>
        </w:r>
      </w:ins>
      <w:ins w:id="13" w:author="JY" w:date="2025-03-13T12:24:04Z">
        <w:r>
          <w:rPr>
            <w:rFonts w:hint="eastAsia"/>
            <w:lang w:val="en-US" w:eastAsia="zh-CN"/>
          </w:rPr>
          <w:t xml:space="preserve"> </w:t>
        </w:r>
      </w:ins>
      <w:ins w:id="14" w:author="JY" w:date="2025-03-13T12:24:23Z">
        <w:r>
          <w:rPr>
            <w:rFonts w:hint="eastAsia"/>
            <w:lang w:val="en-US" w:eastAsia="zh-CN"/>
          </w:rPr>
          <w:t>to i</w:t>
        </w:r>
      </w:ins>
      <w:ins w:id="15" w:author="JY" w:date="2025-03-13T12:24:24Z">
        <w:r>
          <w:rPr>
            <w:rFonts w:hint="eastAsia"/>
            <w:lang w:val="en-US" w:eastAsia="zh-CN"/>
          </w:rPr>
          <w:t>ndicate</w:t>
        </w:r>
      </w:ins>
      <w:ins w:id="16" w:author="JY" w:date="2025-03-13T12:24:25Z">
        <w:r>
          <w:rPr>
            <w:rFonts w:hint="eastAsia"/>
            <w:lang w:val="en-US" w:eastAsia="zh-CN"/>
          </w:rPr>
          <w:t xml:space="preserve"> the</w:t>
        </w:r>
      </w:ins>
      <w:ins w:id="17" w:author="JY" w:date="2025-03-13T12:24:28Z">
        <w:r>
          <w:rPr>
            <w:rFonts w:hint="eastAsia"/>
            <w:lang w:val="en-US" w:eastAsia="zh-CN"/>
          </w:rPr>
          <w:t xml:space="preserve"> </w:t>
        </w:r>
      </w:ins>
      <w:ins w:id="18" w:author="JY" w:date="2025-03-13T12:26:11Z">
        <w:r>
          <w:rPr>
            <w:rFonts w:hint="eastAsia"/>
            <w:lang w:val="en-US" w:eastAsia="zh-CN"/>
          </w:rPr>
          <w:t>s</w:t>
        </w:r>
      </w:ins>
      <w:ins w:id="19" w:author="JY" w:date="2025-03-13T12:26:13Z">
        <w:r>
          <w:rPr>
            <w:rFonts w:hint="eastAsia"/>
            <w:lang w:val="en-US" w:eastAsia="zh-CN"/>
          </w:rPr>
          <w:t>essio</w:t>
        </w:r>
      </w:ins>
      <w:ins w:id="20" w:author="JY" w:date="2025-03-13T12:26:14Z">
        <w:r>
          <w:rPr>
            <w:rFonts w:hint="eastAsia"/>
            <w:lang w:val="en-US" w:eastAsia="zh-CN"/>
          </w:rPr>
          <w:t xml:space="preserve">n is </w:t>
        </w:r>
      </w:ins>
      <w:ins w:id="21" w:author="JY" w:date="2025-03-13T12:26:15Z">
        <w:r>
          <w:rPr>
            <w:rFonts w:hint="eastAsia"/>
            <w:lang w:val="en-US" w:eastAsia="zh-CN"/>
          </w:rPr>
          <w:t xml:space="preserve">for </w:t>
        </w:r>
      </w:ins>
      <w:ins w:id="22" w:author="JY" w:date="2025-03-13T12:25:37Z">
        <w:r>
          <w:rPr>
            <w:rFonts w:hint="eastAsia"/>
            <w:lang w:val="en-US" w:eastAsia="zh-CN"/>
          </w:rPr>
          <w:t>sta</w:t>
        </w:r>
      </w:ins>
      <w:ins w:id="23" w:author="JY" w:date="2025-03-13T12:25:38Z">
        <w:r>
          <w:rPr>
            <w:rFonts w:hint="eastAsia"/>
            <w:lang w:val="en-US" w:eastAsia="zh-CN"/>
          </w:rPr>
          <w:t>n</w:t>
        </w:r>
      </w:ins>
      <w:ins w:id="24" w:author="JY" w:date="2025-03-13T12:25:40Z">
        <w:r>
          <w:rPr>
            <w:rFonts w:hint="eastAsia"/>
            <w:lang w:val="en-US" w:eastAsia="zh-CN"/>
          </w:rPr>
          <w:t>dalone</w:t>
        </w:r>
      </w:ins>
      <w:ins w:id="25" w:author="JY" w:date="2025-03-13T12:25:41Z">
        <w:r>
          <w:rPr>
            <w:rFonts w:hint="eastAsia"/>
            <w:lang w:val="en-US" w:eastAsia="zh-CN"/>
          </w:rPr>
          <w:t xml:space="preserve"> </w:t>
        </w:r>
      </w:ins>
      <w:ins w:id="26" w:author="JY" w:date="2025-03-13T12:25:42Z">
        <w:r>
          <w:rPr>
            <w:rFonts w:hint="eastAsia"/>
            <w:lang w:val="en-US" w:eastAsia="zh-CN"/>
          </w:rPr>
          <w:t>b</w:t>
        </w:r>
      </w:ins>
      <w:ins w:id="27" w:author="JY" w:date="2025-03-13T12:25:43Z">
        <w:r>
          <w:rPr>
            <w:rFonts w:hint="eastAsia"/>
            <w:lang w:val="en-US" w:eastAsia="zh-CN"/>
          </w:rPr>
          <w:t>o</w:t>
        </w:r>
      </w:ins>
      <w:ins w:id="28" w:author="JY" w:date="2025-03-13T12:25:44Z">
        <w:r>
          <w:rPr>
            <w:rFonts w:hint="eastAsia"/>
            <w:lang w:val="en-US" w:eastAsia="zh-CN"/>
          </w:rPr>
          <w:t>ot</w:t>
        </w:r>
      </w:ins>
      <w:ins w:id="29" w:author="JY" w:date="2025-03-13T12:25:45Z">
        <w:r>
          <w:rPr>
            <w:rFonts w:hint="eastAsia"/>
            <w:lang w:val="en-US" w:eastAsia="zh-CN"/>
          </w:rPr>
          <w:t>stra</w:t>
        </w:r>
      </w:ins>
      <w:ins w:id="30" w:author="JY" w:date="2025-03-13T12:25:46Z">
        <w:r>
          <w:rPr>
            <w:rFonts w:hint="eastAsia"/>
            <w:lang w:val="en-US" w:eastAsia="zh-CN"/>
          </w:rPr>
          <w:t>p</w:t>
        </w:r>
      </w:ins>
      <w:ins w:id="31" w:author="JY" w:date="2025-03-13T12:25:47Z">
        <w:r>
          <w:rPr>
            <w:rFonts w:hint="eastAsia"/>
            <w:lang w:val="en-US" w:eastAsia="zh-CN"/>
          </w:rPr>
          <w:t xml:space="preserve"> </w:t>
        </w:r>
      </w:ins>
      <w:ins w:id="32" w:author="JY" w:date="2025-03-13T12:24:28Z">
        <w:r>
          <w:rPr>
            <w:rFonts w:hint="eastAsia"/>
            <w:lang w:val="en-US" w:eastAsia="zh-CN"/>
          </w:rPr>
          <w:t>D</w:t>
        </w:r>
      </w:ins>
      <w:ins w:id="33" w:author="JY" w:date="2025-03-13T12:24:29Z">
        <w:r>
          <w:rPr>
            <w:rFonts w:hint="eastAsia"/>
            <w:lang w:val="en-US" w:eastAsia="zh-CN"/>
          </w:rPr>
          <w:t>C</w:t>
        </w:r>
      </w:ins>
      <w:del w:id="34" w:author="JY" w:date="2025-03-13T12:23:24Z">
        <w:r>
          <w:rPr>
            <w:rFonts w:eastAsia="Times New Roman"/>
            <w:lang w:eastAsia="en-GB"/>
          </w:rPr>
          <w:delText>a PSI is configured in the UE for that purpose</w:delText>
        </w:r>
      </w:del>
      <w:r>
        <w:rPr>
          <w:rFonts w:eastAsia="Times New Roman"/>
          <w:lang w:eastAsia="en-GB"/>
        </w:rPr>
        <w:t>.</w:t>
      </w:r>
    </w:p>
    <w:p>
      <w:pPr>
        <w:overflowPunct w:val="0"/>
        <w:autoSpaceDE w:val="0"/>
        <w:autoSpaceDN w:val="0"/>
        <w:adjustRightInd w:val="0"/>
        <w:textAlignment w:val="baseline"/>
        <w:rPr>
          <w:rFonts w:eastAsia="Times New Roman"/>
          <w:lang w:eastAsia="en-GB"/>
        </w:rPr>
      </w:pPr>
      <w:r>
        <w:rPr>
          <w:rFonts w:eastAsia="Times New Roman"/>
          <w:lang w:eastAsia="en-GB"/>
        </w:rPr>
        <w:t>After the standalone bootstrap DC is established, the UE downloads the application list and/or applications via the bootstrap DC. The list of application information is used for selection, downloading, and/or initiating standalone application DC in a subsequent IMS data channel session. The UE terminates the standalone IMS data channel session when the session timer expires.</w:t>
      </w:r>
    </w:p>
    <w:p>
      <w:pPr>
        <w:overflowPunct w:val="0"/>
        <w:autoSpaceDE w:val="0"/>
        <w:autoSpaceDN w:val="0"/>
        <w:adjustRightInd w:val="0"/>
        <w:textAlignment w:val="baseline"/>
        <w:rPr>
          <w:rFonts w:eastAsia="Times New Roman"/>
          <w:lang w:eastAsia="en-GB"/>
        </w:rPr>
      </w:pPr>
      <w:r>
        <w:rPr>
          <w:rFonts w:eastAsia="Times New Roman"/>
          <w:lang w:eastAsia="en-GB"/>
        </w:rPr>
        <w:t>Whether and when to initiate the standalone Bootstrap DC setup using PSI is up to UE implementation.</w:t>
      </w:r>
    </w:p>
    <w:p>
      <w:pPr>
        <w:overflowPunct w:val="0"/>
        <w:autoSpaceDE w:val="0"/>
        <w:autoSpaceDN w:val="0"/>
        <w:adjustRightInd w:val="0"/>
        <w:textAlignment w:val="baseline"/>
        <w:rPr>
          <w:rFonts w:eastAsia="Times New Roman"/>
          <w:lang w:eastAsia="en-GB"/>
        </w:rPr>
      </w:pPr>
      <w:r>
        <w:rPr>
          <w:rFonts w:eastAsia="Times New Roman"/>
          <w:lang w:eastAsia="en-GB"/>
        </w:rPr>
        <w:t>Figure AC.10.2.1-1depicts a signalling flow diagram for originating standalone bootstrap data channel setup using PSI.</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5" o:spt="75" type="#_x0000_t75" style="height:329.95pt;width:347.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AC.10.2.1-1: Originating Standalone Bootstrap DC Setup using PSI</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UE#1 sends the SIP INVITE request with an initial SDP offer to the IMS AS, through P-CSCF and S-CSCF in the originating network. The Request URI of the SIP INVITE message is </w:t>
      </w:r>
      <w:del w:id="35" w:author="JY" w:date="2025-03-13T12:26:40Z">
        <w:r>
          <w:rPr>
            <w:rFonts w:hint="default" w:ascii="Times New Roman" w:hAnsi="Times New Roman" w:eastAsia="Times New Roman" w:cs="Times New Roman"/>
            <w:lang w:val="en-US" w:eastAsia="en-GB" w:bidi="ar-SA"/>
          </w:rPr>
          <w:delText>a specific target URI, i.e. a</w:delText>
        </w:r>
      </w:del>
      <w:ins w:id="36" w:author="JY" w:date="2025-03-13T12:26:40Z">
        <w:r>
          <w:rPr>
            <w:rFonts w:hint="eastAsia" w:ascii="Times New Roman" w:hAnsi="Times New Roman" w:eastAsia="宋体" w:cs="Times New Roman"/>
            <w:lang w:val="en-US" w:eastAsia="zh-CN" w:bidi="ar-SA"/>
          </w:rPr>
          <w:t>set</w:t>
        </w:r>
      </w:ins>
      <w:ins w:id="37" w:author="JY" w:date="2025-03-13T12:26:42Z">
        <w:r>
          <w:rPr>
            <w:rFonts w:hint="eastAsia" w:ascii="Times New Roman" w:hAnsi="Times New Roman" w:eastAsia="宋体" w:cs="Times New Roman"/>
            <w:lang w:val="en-US" w:eastAsia="zh-CN" w:bidi="ar-SA"/>
          </w:rPr>
          <w:t xml:space="preserve"> </w:t>
        </w:r>
      </w:ins>
      <w:ins w:id="38" w:author="JY" w:date="2025-03-13T12:26:44Z">
        <w:r>
          <w:rPr>
            <w:rFonts w:hint="eastAsia" w:ascii="Times New Roman" w:hAnsi="Times New Roman" w:eastAsia="宋体" w:cs="Times New Roman"/>
            <w:lang w:val="en-US" w:eastAsia="zh-CN" w:bidi="ar-SA"/>
          </w:rPr>
          <w:t>to</w:t>
        </w:r>
      </w:ins>
      <w:ins w:id="39" w:author="JY" w:date="2025-03-13T12:26:46Z">
        <w:r>
          <w:rPr>
            <w:rFonts w:hint="eastAsia" w:ascii="Times New Roman" w:hAnsi="Times New Roman" w:eastAsia="宋体" w:cs="Times New Roman"/>
            <w:lang w:val="en-US" w:eastAsia="zh-CN" w:bidi="ar-SA"/>
          </w:rPr>
          <w:t xml:space="preserve"> the</w:t>
        </w:r>
      </w:ins>
      <w:ins w:id="40" w:author="JY" w:date="2025-03-13T12:26:52Z">
        <w:r>
          <w:rPr>
            <w:rFonts w:hint="eastAsia" w:ascii="Times New Roman" w:hAnsi="Times New Roman" w:eastAsia="宋体" w:cs="Times New Roman"/>
            <w:lang w:val="en-US" w:eastAsia="zh-CN" w:bidi="ar-SA"/>
          </w:rPr>
          <w:t xml:space="preserve"> </w:t>
        </w:r>
      </w:ins>
      <w:ins w:id="41" w:author="JY" w:date="2025-03-13T12:26:53Z">
        <w:r>
          <w:rPr>
            <w:rFonts w:hint="eastAsia" w:ascii="Times New Roman" w:hAnsi="Times New Roman" w:eastAsia="宋体" w:cs="Times New Roman"/>
            <w:lang w:val="en-US" w:eastAsia="zh-CN" w:bidi="ar-SA"/>
          </w:rPr>
          <w:t>c</w:t>
        </w:r>
      </w:ins>
      <w:ins w:id="42" w:author="JY" w:date="2025-03-13T12:26:54Z">
        <w:r>
          <w:rPr>
            <w:rFonts w:hint="eastAsia" w:ascii="Times New Roman" w:hAnsi="Times New Roman" w:eastAsia="宋体" w:cs="Times New Roman"/>
            <w:lang w:val="en-US" w:eastAsia="zh-CN" w:bidi="ar-SA"/>
          </w:rPr>
          <w:t>onfigur</w:t>
        </w:r>
      </w:ins>
      <w:ins w:id="43" w:author="JY" w:date="2025-03-13T12:26:55Z">
        <w:r>
          <w:rPr>
            <w:rFonts w:hint="eastAsia" w:ascii="Times New Roman" w:hAnsi="Times New Roman" w:eastAsia="宋体" w:cs="Times New Roman"/>
            <w:lang w:val="en-US" w:eastAsia="zh-CN" w:bidi="ar-SA"/>
          </w:rPr>
          <w:t>ed</w:t>
        </w:r>
      </w:ins>
      <w:r>
        <w:rPr>
          <w:rFonts w:ascii="Times New Roman" w:hAnsi="Times New Roman" w:eastAsia="Times New Roman" w:cs="Times New Roman"/>
          <w:lang w:val="en-GB" w:eastAsia="en-GB" w:bidi="ar-SA"/>
        </w:rPr>
        <w:t xml:space="preserve"> specific PSI indicating standalone bootstrap DC. The initial SDP offer includes only the bootstrap data channel establishment request with bootstrap DC stream ID(s). The SIP precondition is not needed.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PSI is pre-configured in the UE#1. How and when the PSI is pre-configured is left to implementation.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can perform step 1 at any time before initiating a standalone application data channel, such as, immediately after completing the SIP registration procedure for downloading the list of application information and applications in order to save the duration of consequence (standalone) IMS DC session establishment.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2-4 of clause AC.7.1 apply with the following difference: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rejects a session initiated by a UE not subscribed for a standalone IMS data channel session.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Since the SessionEstablishmentRequestEvent indicates that served user is offered only a local bootstrap media, the DCSF, based on the value of the Called ID (i.e. the specific PSI) and the content of the initial SDP offer, determines that the UE#1 requests to establish a standalone bootstrap DC and reserves only originating side MDC1 media information, which is used to receive the UE request for application downloading from the MF.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invokes the Nimsas_MediaControl_MediaInstruction (Session ID, Media Instruction Set) service operation based on its policies instructing the IMS AS how to set up bootstrap data channel with the MF for originating side. The MediaInstructionSet provided by the DSCF, includes its MDC1 media endpoint addresses created in step 5, DC Stream ID, and the replacement HTTP URL representing the application list offered via the MDC1 interface.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 7 of clause AC.7.1 applies.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invokes Nmf_MRM_Create (List of Media Termination Descriptors) service operation to instruct the MF to allocate required data channel media resources for originating side only. The IMS AS requests creation of only one Media Termination which representing the local bootstrap media to be terminated.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9-10 of clause AC.7.1 apply.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does not forward the SIP INVITE request based on the specific Request URI (i.e. PSI) and sends the SIP 18X response with the SDP answer through S-CSCF and P-CSCF to UE#1.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standalone IMS data channel session with only bootstrap data channel is answered and bootstrap data channel between the originating MF and UE#1 is established.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sends application request messages to the MF to request a data channel application or an application list if multiple DC applications are available, via the established bootstrap data channel. The MF forwards the message to the received media point of DCSF. The DCSF provides the application list and proper data channel applications further to the UE#1 based on their data channel capabilities and their choices through MF.</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15-16.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established bootstrap DC is not used for a period of time (expiry of the session timer), UE#1 sends SIP BYE to release the bootstrap DC.</w:t>
      </w:r>
    </w:p>
    <w:p>
      <w:pPr>
        <w:pStyle w:val="123"/>
        <w:rPr>
          <w:rFonts w:hint="eastAsia"/>
          <w:lang w:val="en-US" w:eastAsia="zh-CN"/>
        </w:rPr>
      </w:pPr>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734F81"/>
    <w:rsid w:val="06192991"/>
    <w:rsid w:val="076A3DB7"/>
    <w:rsid w:val="0822097E"/>
    <w:rsid w:val="0994726D"/>
    <w:rsid w:val="09D5642F"/>
    <w:rsid w:val="0A7613CD"/>
    <w:rsid w:val="0B4D2798"/>
    <w:rsid w:val="0C950767"/>
    <w:rsid w:val="0D0962F1"/>
    <w:rsid w:val="0EA22ADB"/>
    <w:rsid w:val="0EF10390"/>
    <w:rsid w:val="100D7863"/>
    <w:rsid w:val="10BC2EAA"/>
    <w:rsid w:val="10D4182A"/>
    <w:rsid w:val="126F15CC"/>
    <w:rsid w:val="12D000C9"/>
    <w:rsid w:val="136A4CE7"/>
    <w:rsid w:val="13C4667A"/>
    <w:rsid w:val="17C85590"/>
    <w:rsid w:val="18135854"/>
    <w:rsid w:val="181F4121"/>
    <w:rsid w:val="191F13C5"/>
    <w:rsid w:val="1D3075F1"/>
    <w:rsid w:val="1E8B1E2C"/>
    <w:rsid w:val="1FF47796"/>
    <w:rsid w:val="20987265"/>
    <w:rsid w:val="20F2001C"/>
    <w:rsid w:val="22FC5AF3"/>
    <w:rsid w:val="23140F9B"/>
    <w:rsid w:val="25A869D6"/>
    <w:rsid w:val="26BF1125"/>
    <w:rsid w:val="27BA76BA"/>
    <w:rsid w:val="27D150E1"/>
    <w:rsid w:val="2D886EC1"/>
    <w:rsid w:val="2DD97BC5"/>
    <w:rsid w:val="2E9F7E0E"/>
    <w:rsid w:val="2F432A1A"/>
    <w:rsid w:val="30AA79E3"/>
    <w:rsid w:val="30DED52B"/>
    <w:rsid w:val="314B756C"/>
    <w:rsid w:val="32E72226"/>
    <w:rsid w:val="33F473C4"/>
    <w:rsid w:val="356C3834"/>
    <w:rsid w:val="361735AB"/>
    <w:rsid w:val="368158FA"/>
    <w:rsid w:val="372D5A13"/>
    <w:rsid w:val="39446403"/>
    <w:rsid w:val="39511E95"/>
    <w:rsid w:val="3B445B48"/>
    <w:rsid w:val="3CB85DAC"/>
    <w:rsid w:val="3CDA4CE5"/>
    <w:rsid w:val="3CE22203"/>
    <w:rsid w:val="407A60D5"/>
    <w:rsid w:val="44896BFF"/>
    <w:rsid w:val="45387C9D"/>
    <w:rsid w:val="45996A3C"/>
    <w:rsid w:val="45A837D4"/>
    <w:rsid w:val="4667038F"/>
    <w:rsid w:val="4AB5099E"/>
    <w:rsid w:val="4AD81E57"/>
    <w:rsid w:val="4B891C7B"/>
    <w:rsid w:val="4CA213FA"/>
    <w:rsid w:val="4CB44DCE"/>
    <w:rsid w:val="4DA841F4"/>
    <w:rsid w:val="4DF158ED"/>
    <w:rsid w:val="50F3395B"/>
    <w:rsid w:val="514B71D7"/>
    <w:rsid w:val="518B0C6C"/>
    <w:rsid w:val="52ED30C9"/>
    <w:rsid w:val="53F80750"/>
    <w:rsid w:val="54660D84"/>
    <w:rsid w:val="558C0B67"/>
    <w:rsid w:val="578754A9"/>
    <w:rsid w:val="5E5C50B6"/>
    <w:rsid w:val="5F192012"/>
    <w:rsid w:val="5F3144D8"/>
    <w:rsid w:val="616D4A32"/>
    <w:rsid w:val="617D4CFF"/>
    <w:rsid w:val="695705CE"/>
    <w:rsid w:val="69863E30"/>
    <w:rsid w:val="6B2C4161"/>
    <w:rsid w:val="6B5D01B3"/>
    <w:rsid w:val="6BE50E28"/>
    <w:rsid w:val="6BFC0FB6"/>
    <w:rsid w:val="6C4A7EBF"/>
    <w:rsid w:val="6EBF1ABE"/>
    <w:rsid w:val="6F8275FE"/>
    <w:rsid w:val="72AD6831"/>
    <w:rsid w:val="72B33FBD"/>
    <w:rsid w:val="73023D3C"/>
    <w:rsid w:val="743743B4"/>
    <w:rsid w:val="74653984"/>
    <w:rsid w:val="79173937"/>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9FA0E9BF-B1AD-4D48-9CAF-212F30DE4F71}">
  <ds:schemaRefs/>
</ds:datastoreItem>
</file>

<file path=customXml/itemProps3.xml><?xml version="1.0" encoding="utf-8"?>
<ds:datastoreItem xmlns:ds="http://schemas.openxmlformats.org/officeDocument/2006/customXml" ds:itemID="{4C5FB597-0836-4FCF-8B8E-42137A4B44E3}">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EC02C32D-A832-446F-8B82-85A34FAA8338}">
  <ds:schemaRefs/>
</ds:datastoreItem>
</file>

<file path=customXml/itemProps6.xml><?xml version="1.0" encoding="utf-8"?>
<ds:datastoreItem xmlns:ds="http://schemas.openxmlformats.org/officeDocument/2006/customXml" ds:itemID="{7394A5F7-920B-4D43-B596-693696E9AAAC}">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4525</Words>
  <Characters>28514</Characters>
  <Lines>237</Lines>
  <Paragraphs>65</Paragraphs>
  <TotalTime>7</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2025-03-28T13:08:33Z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DC2CDC42CF714955B620E2C316023C5B</vt:lpwstr>
  </property>
</Properties>
</file>